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3ADC3" w14:textId="74A4B324" w:rsidR="00B526BF" w:rsidRPr="00B526BF" w:rsidRDefault="00B526BF" w:rsidP="003D09AF">
      <w:pPr>
        <w:numPr>
          <w:ilvl w:val="0"/>
          <w:numId w:val="1"/>
        </w:numPr>
        <w:spacing w:before="240"/>
        <w:ind w:left="357" w:hanging="357"/>
        <w:jc w:val="both"/>
        <w:rPr>
          <w:rFonts w:ascii="Arial" w:hAnsi="Arial" w:cs="Arial"/>
          <w:bCs/>
          <w:spacing w:val="-3"/>
          <w:sz w:val="22"/>
          <w:szCs w:val="22"/>
        </w:rPr>
      </w:pPr>
      <w:r w:rsidRPr="00B526BF">
        <w:rPr>
          <w:rFonts w:ascii="Arial" w:hAnsi="Arial" w:cs="Arial"/>
          <w:bCs/>
          <w:spacing w:val="-3"/>
          <w:sz w:val="22"/>
          <w:szCs w:val="22"/>
        </w:rPr>
        <w:t xml:space="preserve">In November 2004, the former Standing Committee of Attorneys-General endorsed the </w:t>
      </w:r>
      <w:r>
        <w:rPr>
          <w:rFonts w:ascii="Arial" w:hAnsi="Arial" w:cs="Arial"/>
          <w:bCs/>
          <w:spacing w:val="-3"/>
          <w:sz w:val="22"/>
          <w:szCs w:val="22"/>
        </w:rPr>
        <w:t>model defamation provisions (</w:t>
      </w:r>
      <w:r w:rsidRPr="00B526BF">
        <w:rPr>
          <w:rFonts w:ascii="Arial" w:hAnsi="Arial" w:cs="Arial"/>
          <w:bCs/>
          <w:spacing w:val="-3"/>
          <w:sz w:val="22"/>
          <w:szCs w:val="22"/>
        </w:rPr>
        <w:t>MDPs</w:t>
      </w:r>
      <w:r>
        <w:rPr>
          <w:rFonts w:ascii="Arial" w:hAnsi="Arial" w:cs="Arial"/>
          <w:bCs/>
          <w:spacing w:val="-3"/>
          <w:sz w:val="22"/>
          <w:szCs w:val="22"/>
        </w:rPr>
        <w:t>)</w:t>
      </w:r>
      <w:r w:rsidRPr="00B526BF">
        <w:rPr>
          <w:rFonts w:ascii="Arial" w:hAnsi="Arial" w:cs="Arial"/>
          <w:bCs/>
          <w:spacing w:val="-3"/>
          <w:sz w:val="22"/>
          <w:szCs w:val="22"/>
        </w:rPr>
        <w:t xml:space="preserve"> and thereafter each state and territory enacted legislation to implement them. In Queensland, the </w:t>
      </w:r>
      <w:r w:rsidRPr="00B526BF">
        <w:rPr>
          <w:rFonts w:ascii="Arial" w:hAnsi="Arial" w:cs="Arial"/>
          <w:bCs/>
          <w:i/>
          <w:iCs/>
          <w:spacing w:val="-3"/>
          <w:sz w:val="22"/>
          <w:szCs w:val="22"/>
        </w:rPr>
        <w:t>Defamation Act 2005</w:t>
      </w:r>
      <w:r w:rsidRPr="00B526BF">
        <w:rPr>
          <w:rFonts w:ascii="Arial" w:hAnsi="Arial" w:cs="Arial"/>
          <w:bCs/>
          <w:spacing w:val="-3"/>
          <w:sz w:val="22"/>
          <w:szCs w:val="22"/>
        </w:rPr>
        <w:t xml:space="preserve"> commenced on 1 January 2006.</w:t>
      </w:r>
    </w:p>
    <w:p w14:paraId="12FDEBE8" w14:textId="32AD408E" w:rsidR="00B526BF" w:rsidRPr="00B526BF" w:rsidRDefault="00B526BF" w:rsidP="005D1472">
      <w:pPr>
        <w:numPr>
          <w:ilvl w:val="0"/>
          <w:numId w:val="1"/>
        </w:numPr>
        <w:spacing w:before="240"/>
        <w:ind w:left="357" w:hanging="357"/>
        <w:jc w:val="both"/>
        <w:rPr>
          <w:rFonts w:ascii="Arial" w:hAnsi="Arial" w:cs="Arial"/>
          <w:bCs/>
          <w:spacing w:val="-3"/>
          <w:sz w:val="22"/>
          <w:szCs w:val="22"/>
        </w:rPr>
      </w:pPr>
      <w:r w:rsidRPr="00B526BF">
        <w:rPr>
          <w:rFonts w:ascii="Arial" w:hAnsi="Arial" w:cs="Arial"/>
          <w:bCs/>
          <w:spacing w:val="-3"/>
          <w:sz w:val="22"/>
          <w:szCs w:val="22"/>
        </w:rPr>
        <w:t xml:space="preserve">In June 2018, the </w:t>
      </w:r>
      <w:r w:rsidR="006D2F31">
        <w:rPr>
          <w:rFonts w:ascii="Arial" w:hAnsi="Arial" w:cs="Arial"/>
          <w:bCs/>
          <w:spacing w:val="-3"/>
          <w:sz w:val="22"/>
          <w:szCs w:val="22"/>
        </w:rPr>
        <w:t xml:space="preserve">former </w:t>
      </w:r>
      <w:r w:rsidRPr="00B526BF">
        <w:rPr>
          <w:rFonts w:ascii="Arial" w:hAnsi="Arial" w:cs="Arial"/>
          <w:bCs/>
          <w:spacing w:val="-3"/>
          <w:sz w:val="22"/>
          <w:szCs w:val="22"/>
        </w:rPr>
        <w:t>Council of Attorneys-General (</w:t>
      </w:r>
      <w:r w:rsidR="00073D2A">
        <w:rPr>
          <w:rFonts w:ascii="Arial" w:hAnsi="Arial" w:cs="Arial"/>
          <w:bCs/>
          <w:spacing w:val="-3"/>
          <w:sz w:val="22"/>
          <w:szCs w:val="22"/>
        </w:rPr>
        <w:t>Council</w:t>
      </w:r>
      <w:r w:rsidRPr="00B526BF">
        <w:rPr>
          <w:rFonts w:ascii="Arial" w:hAnsi="Arial" w:cs="Arial"/>
          <w:bCs/>
          <w:spacing w:val="-3"/>
          <w:sz w:val="22"/>
          <w:szCs w:val="22"/>
        </w:rPr>
        <w:t>) agreed to reconvene the Defamation Working Party (DWP), led by the New South Wales Department of Justice, to consider whether the policy objectives of the MDPs remain valid and whether the provisions remain appropriate to achieve the</w:t>
      </w:r>
      <w:r w:rsidR="00ED0904">
        <w:rPr>
          <w:rFonts w:ascii="Arial" w:hAnsi="Arial" w:cs="Arial"/>
          <w:bCs/>
          <w:spacing w:val="-3"/>
          <w:sz w:val="22"/>
          <w:szCs w:val="22"/>
        </w:rPr>
        <w:t>ir</w:t>
      </w:r>
      <w:r w:rsidRPr="00B526BF">
        <w:rPr>
          <w:rFonts w:ascii="Arial" w:hAnsi="Arial" w:cs="Arial"/>
          <w:bCs/>
          <w:spacing w:val="-3"/>
          <w:sz w:val="22"/>
          <w:szCs w:val="22"/>
        </w:rPr>
        <w:t xml:space="preserve"> objectives.</w:t>
      </w:r>
    </w:p>
    <w:p w14:paraId="51E4B12D" w14:textId="77777777" w:rsidR="00073D2A" w:rsidRDefault="00B526BF" w:rsidP="005D1472">
      <w:pPr>
        <w:numPr>
          <w:ilvl w:val="0"/>
          <w:numId w:val="1"/>
        </w:numPr>
        <w:spacing w:before="240"/>
        <w:ind w:left="357" w:hanging="357"/>
        <w:jc w:val="both"/>
        <w:rPr>
          <w:rFonts w:ascii="Arial" w:hAnsi="Arial" w:cs="Arial"/>
          <w:bCs/>
          <w:spacing w:val="-3"/>
          <w:sz w:val="22"/>
          <w:szCs w:val="22"/>
        </w:rPr>
      </w:pPr>
      <w:r w:rsidRPr="00B526BF">
        <w:rPr>
          <w:rFonts w:ascii="Arial" w:hAnsi="Arial" w:cs="Arial"/>
          <w:bCs/>
          <w:spacing w:val="-3"/>
          <w:sz w:val="22"/>
          <w:szCs w:val="22"/>
        </w:rPr>
        <w:t>The DWP undertook public consultation on a discussion paper, a number of targeted stakeholder roundtables and further supplementary consultation on a range of additional issues which informed the development of the Model Defamation Amendment Provisions (MDAPs).</w:t>
      </w:r>
    </w:p>
    <w:p w14:paraId="75AC472B" w14:textId="7675FDC4" w:rsidR="00073D2A" w:rsidRDefault="00073D2A" w:rsidP="005D1472">
      <w:pPr>
        <w:numPr>
          <w:ilvl w:val="0"/>
          <w:numId w:val="1"/>
        </w:numPr>
        <w:spacing w:before="240"/>
        <w:ind w:left="357" w:hanging="357"/>
        <w:jc w:val="both"/>
        <w:rPr>
          <w:rFonts w:ascii="Arial" w:hAnsi="Arial" w:cs="Arial"/>
          <w:bCs/>
          <w:spacing w:val="-3"/>
          <w:sz w:val="22"/>
          <w:szCs w:val="22"/>
        </w:rPr>
      </w:pPr>
      <w:r w:rsidRPr="00073D2A">
        <w:rPr>
          <w:rFonts w:ascii="Arial" w:hAnsi="Arial" w:cs="Arial"/>
          <w:bCs/>
          <w:spacing w:val="-3"/>
          <w:sz w:val="22"/>
          <w:szCs w:val="22"/>
        </w:rPr>
        <w:t xml:space="preserve">At </w:t>
      </w:r>
      <w:r w:rsidR="006D2F31" w:rsidRPr="00073D2A">
        <w:rPr>
          <w:rFonts w:ascii="Arial" w:hAnsi="Arial" w:cs="Arial"/>
          <w:bCs/>
          <w:spacing w:val="-3"/>
          <w:sz w:val="22"/>
          <w:szCs w:val="22"/>
        </w:rPr>
        <w:t>i</w:t>
      </w:r>
      <w:r w:rsidR="006D2F31">
        <w:rPr>
          <w:rFonts w:ascii="Arial" w:hAnsi="Arial" w:cs="Arial"/>
          <w:bCs/>
          <w:spacing w:val="-3"/>
          <w:sz w:val="22"/>
          <w:szCs w:val="22"/>
        </w:rPr>
        <w:t>ts</w:t>
      </w:r>
      <w:r w:rsidR="00ED0904">
        <w:rPr>
          <w:rFonts w:ascii="Arial" w:hAnsi="Arial" w:cs="Arial"/>
          <w:bCs/>
          <w:spacing w:val="-3"/>
          <w:sz w:val="22"/>
          <w:szCs w:val="22"/>
        </w:rPr>
        <w:t xml:space="preserve"> </w:t>
      </w:r>
      <w:r w:rsidRPr="00073D2A">
        <w:rPr>
          <w:rFonts w:ascii="Arial" w:hAnsi="Arial" w:cs="Arial"/>
          <w:bCs/>
          <w:spacing w:val="-3"/>
          <w:sz w:val="22"/>
          <w:szCs w:val="22"/>
        </w:rPr>
        <w:t xml:space="preserve">meeting on 27 July 2020, </w:t>
      </w:r>
      <w:r>
        <w:rPr>
          <w:rFonts w:ascii="Arial" w:hAnsi="Arial" w:cs="Arial"/>
          <w:bCs/>
          <w:spacing w:val="-3"/>
          <w:sz w:val="22"/>
          <w:szCs w:val="22"/>
        </w:rPr>
        <w:t>the Council</w:t>
      </w:r>
      <w:r w:rsidRPr="00073D2A">
        <w:rPr>
          <w:rFonts w:ascii="Arial" w:hAnsi="Arial" w:cs="Arial"/>
          <w:bCs/>
          <w:spacing w:val="-3"/>
          <w:sz w:val="22"/>
          <w:szCs w:val="22"/>
        </w:rPr>
        <w:t xml:space="preserve"> approved the MDAPs</w:t>
      </w:r>
      <w:r>
        <w:rPr>
          <w:rFonts w:ascii="Arial" w:hAnsi="Arial" w:cs="Arial"/>
          <w:bCs/>
          <w:spacing w:val="-3"/>
          <w:sz w:val="22"/>
          <w:szCs w:val="22"/>
        </w:rPr>
        <w:t>.</w:t>
      </w:r>
    </w:p>
    <w:p w14:paraId="43CD0035" w14:textId="7B52C14F" w:rsidR="00B526BF" w:rsidRPr="00073D2A" w:rsidRDefault="00073D2A" w:rsidP="005D1472">
      <w:pPr>
        <w:numPr>
          <w:ilvl w:val="0"/>
          <w:numId w:val="1"/>
        </w:numPr>
        <w:spacing w:before="240"/>
        <w:ind w:left="357" w:hanging="357"/>
        <w:jc w:val="both"/>
        <w:rPr>
          <w:rFonts w:ascii="Arial" w:hAnsi="Arial" w:cs="Arial"/>
          <w:bCs/>
          <w:spacing w:val="-3"/>
          <w:sz w:val="22"/>
          <w:szCs w:val="22"/>
        </w:rPr>
      </w:pPr>
      <w:r>
        <w:rPr>
          <w:rFonts w:ascii="Arial" w:hAnsi="Arial" w:cs="Arial"/>
          <w:bCs/>
          <w:spacing w:val="-3"/>
          <w:sz w:val="22"/>
          <w:szCs w:val="22"/>
        </w:rPr>
        <w:t xml:space="preserve">In Queensland, the MDAPs are contained in the </w:t>
      </w:r>
      <w:r w:rsidRPr="00073D2A">
        <w:rPr>
          <w:rFonts w:ascii="Arial" w:hAnsi="Arial" w:cs="Arial"/>
          <w:bCs/>
          <w:spacing w:val="-3"/>
          <w:sz w:val="22"/>
          <w:szCs w:val="22"/>
        </w:rPr>
        <w:t xml:space="preserve">Defamation </w:t>
      </w:r>
      <w:r w:rsidR="00512CF0" w:rsidRPr="00073D2A">
        <w:rPr>
          <w:rFonts w:ascii="Arial" w:hAnsi="Arial" w:cs="Arial"/>
          <w:bCs/>
          <w:spacing w:val="-3"/>
          <w:sz w:val="22"/>
          <w:szCs w:val="22"/>
        </w:rPr>
        <w:t xml:space="preserve">(Model Provisions) </w:t>
      </w:r>
      <w:r w:rsidRPr="00073D2A">
        <w:rPr>
          <w:rFonts w:ascii="Arial" w:hAnsi="Arial" w:cs="Arial"/>
          <w:bCs/>
          <w:spacing w:val="-3"/>
          <w:sz w:val="22"/>
          <w:szCs w:val="22"/>
        </w:rPr>
        <w:t xml:space="preserve">and Other Legislation </w:t>
      </w:r>
      <w:r w:rsidR="00DD6834" w:rsidRPr="00073D2A">
        <w:rPr>
          <w:rFonts w:ascii="Arial" w:hAnsi="Arial" w:cs="Arial"/>
          <w:bCs/>
          <w:spacing w:val="-3"/>
          <w:sz w:val="22"/>
          <w:szCs w:val="22"/>
        </w:rPr>
        <w:t xml:space="preserve">Amendment </w:t>
      </w:r>
      <w:r w:rsidRPr="00073D2A">
        <w:rPr>
          <w:rFonts w:ascii="Arial" w:hAnsi="Arial" w:cs="Arial"/>
          <w:bCs/>
          <w:spacing w:val="-3"/>
          <w:sz w:val="22"/>
          <w:szCs w:val="22"/>
        </w:rPr>
        <w:t>Bill 202</w:t>
      </w:r>
      <w:r w:rsidR="00DD6834">
        <w:rPr>
          <w:rFonts w:ascii="Arial" w:hAnsi="Arial" w:cs="Arial"/>
          <w:bCs/>
          <w:spacing w:val="-3"/>
          <w:sz w:val="22"/>
          <w:szCs w:val="22"/>
        </w:rPr>
        <w:t>1</w:t>
      </w:r>
      <w:r w:rsidR="00AB537C">
        <w:rPr>
          <w:rFonts w:ascii="Arial" w:hAnsi="Arial" w:cs="Arial"/>
          <w:bCs/>
          <w:spacing w:val="-3"/>
          <w:sz w:val="22"/>
          <w:szCs w:val="22"/>
        </w:rPr>
        <w:t xml:space="preserve"> (the Bill)</w:t>
      </w:r>
      <w:r w:rsidRPr="00073D2A">
        <w:rPr>
          <w:rFonts w:ascii="Arial" w:hAnsi="Arial" w:cs="Arial"/>
          <w:bCs/>
          <w:spacing w:val="-3"/>
          <w:sz w:val="22"/>
          <w:szCs w:val="22"/>
        </w:rPr>
        <w:t xml:space="preserve">. Some </w:t>
      </w:r>
      <w:r w:rsidR="00B526BF" w:rsidRPr="00073D2A">
        <w:rPr>
          <w:rFonts w:ascii="Arial" w:hAnsi="Arial" w:cs="Arial"/>
          <w:bCs/>
          <w:spacing w:val="-3"/>
          <w:sz w:val="22"/>
          <w:szCs w:val="22"/>
        </w:rPr>
        <w:t xml:space="preserve">of the more significant reforms </w:t>
      </w:r>
      <w:r>
        <w:rPr>
          <w:rFonts w:ascii="Arial" w:hAnsi="Arial" w:cs="Arial"/>
          <w:bCs/>
          <w:spacing w:val="-3"/>
          <w:sz w:val="22"/>
          <w:szCs w:val="22"/>
        </w:rPr>
        <w:t>include</w:t>
      </w:r>
      <w:r w:rsidR="00B526BF" w:rsidRPr="00073D2A">
        <w:rPr>
          <w:rFonts w:ascii="Arial" w:hAnsi="Arial" w:cs="Arial"/>
          <w:bCs/>
          <w:spacing w:val="-3"/>
          <w:sz w:val="22"/>
          <w:szCs w:val="22"/>
        </w:rPr>
        <w:t xml:space="preserve"> amendments to:</w:t>
      </w:r>
    </w:p>
    <w:p w14:paraId="2A8DC28E" w14:textId="77777777" w:rsidR="00B526BF" w:rsidRPr="00B526BF" w:rsidRDefault="00B526BF" w:rsidP="005D1472">
      <w:pPr>
        <w:pStyle w:val="ListParagraph"/>
        <w:numPr>
          <w:ilvl w:val="0"/>
          <w:numId w:val="2"/>
        </w:numPr>
        <w:spacing w:before="120"/>
        <w:ind w:left="714" w:hanging="357"/>
        <w:contextualSpacing w:val="0"/>
        <w:jc w:val="both"/>
        <w:rPr>
          <w:rFonts w:ascii="Arial" w:hAnsi="Arial" w:cs="Arial"/>
          <w:bCs/>
          <w:spacing w:val="-3"/>
          <w:sz w:val="22"/>
          <w:szCs w:val="22"/>
        </w:rPr>
      </w:pPr>
      <w:r w:rsidRPr="00B526BF">
        <w:rPr>
          <w:rFonts w:ascii="Arial" w:hAnsi="Arial" w:cs="Arial"/>
          <w:bCs/>
          <w:spacing w:val="-3"/>
          <w:sz w:val="22"/>
          <w:szCs w:val="22"/>
        </w:rPr>
        <w:t xml:space="preserve">introduce a single publication rule similar to section 8 of the </w:t>
      </w:r>
      <w:r w:rsidRPr="00B526BF">
        <w:rPr>
          <w:rFonts w:ascii="Arial" w:hAnsi="Arial" w:cs="Arial"/>
          <w:bCs/>
          <w:i/>
          <w:iCs/>
          <w:spacing w:val="-3"/>
          <w:sz w:val="22"/>
          <w:szCs w:val="22"/>
        </w:rPr>
        <w:t>Defamation Act 2013</w:t>
      </w:r>
      <w:r w:rsidRPr="00B526BF">
        <w:rPr>
          <w:rFonts w:ascii="Arial" w:hAnsi="Arial" w:cs="Arial"/>
          <w:bCs/>
          <w:spacing w:val="-3"/>
          <w:sz w:val="22"/>
          <w:szCs w:val="22"/>
        </w:rPr>
        <w:t xml:space="preserve"> (UK) (UK Act) for multiple publications of the same defamation matter by the same publisher (or an associate of the publisher) so that the start date of the one-year limitation period for each publication runs from the date of the first publication; and, for an electronic publication, from when it is uploaded or sent to the recipient; </w:t>
      </w:r>
    </w:p>
    <w:p w14:paraId="1B6D7823" w14:textId="0A68A7F9" w:rsidR="00B526BF" w:rsidRPr="00B526BF" w:rsidRDefault="00B526BF" w:rsidP="003D09AF">
      <w:pPr>
        <w:pStyle w:val="ListParagraph"/>
        <w:numPr>
          <w:ilvl w:val="0"/>
          <w:numId w:val="2"/>
        </w:numPr>
        <w:spacing w:before="120"/>
        <w:ind w:left="714" w:hanging="357"/>
        <w:contextualSpacing w:val="0"/>
        <w:jc w:val="both"/>
        <w:rPr>
          <w:rFonts w:ascii="Arial" w:hAnsi="Arial" w:cs="Arial"/>
          <w:bCs/>
          <w:spacing w:val="-3"/>
          <w:sz w:val="22"/>
          <w:szCs w:val="22"/>
        </w:rPr>
      </w:pPr>
      <w:r w:rsidRPr="00B526BF">
        <w:rPr>
          <w:rFonts w:ascii="Arial" w:hAnsi="Arial" w:cs="Arial"/>
          <w:bCs/>
          <w:spacing w:val="-3"/>
          <w:sz w:val="22"/>
          <w:szCs w:val="22"/>
        </w:rPr>
        <w:t xml:space="preserve">introduce a serious harm threshold, </w:t>
      </w:r>
      <w:r w:rsidR="006D2F31">
        <w:rPr>
          <w:rFonts w:ascii="Arial" w:hAnsi="Arial" w:cs="Arial"/>
          <w:bCs/>
          <w:spacing w:val="-3"/>
          <w:sz w:val="22"/>
          <w:szCs w:val="22"/>
        </w:rPr>
        <w:t xml:space="preserve">similar to section </w:t>
      </w:r>
      <w:r w:rsidR="00FF48E7">
        <w:rPr>
          <w:rFonts w:ascii="Arial" w:hAnsi="Arial" w:cs="Arial"/>
          <w:bCs/>
          <w:spacing w:val="-3"/>
          <w:sz w:val="22"/>
          <w:szCs w:val="22"/>
        </w:rPr>
        <w:t>1</w:t>
      </w:r>
      <w:r w:rsidR="006D2F31">
        <w:rPr>
          <w:rFonts w:ascii="Arial" w:hAnsi="Arial" w:cs="Arial"/>
          <w:bCs/>
          <w:spacing w:val="-3"/>
          <w:sz w:val="22"/>
          <w:szCs w:val="22"/>
        </w:rPr>
        <w:t xml:space="preserve"> of the </w:t>
      </w:r>
      <w:r w:rsidR="006D2F31" w:rsidRPr="00B526BF">
        <w:rPr>
          <w:rFonts w:ascii="Arial" w:hAnsi="Arial" w:cs="Arial"/>
          <w:bCs/>
          <w:i/>
          <w:iCs/>
          <w:spacing w:val="-3"/>
          <w:sz w:val="22"/>
          <w:szCs w:val="22"/>
        </w:rPr>
        <w:t>Defamation Act 2013</w:t>
      </w:r>
      <w:r w:rsidR="006D2F31" w:rsidRPr="00B526BF">
        <w:rPr>
          <w:rFonts w:ascii="Arial" w:hAnsi="Arial" w:cs="Arial"/>
          <w:bCs/>
          <w:spacing w:val="-3"/>
          <w:sz w:val="22"/>
          <w:szCs w:val="22"/>
        </w:rPr>
        <w:t xml:space="preserve"> (UK)</w:t>
      </w:r>
      <w:r w:rsidR="006D2F31">
        <w:rPr>
          <w:rFonts w:ascii="Arial" w:hAnsi="Arial" w:cs="Arial"/>
          <w:bCs/>
          <w:spacing w:val="-3"/>
          <w:sz w:val="22"/>
          <w:szCs w:val="22"/>
        </w:rPr>
        <w:t xml:space="preserve">, </w:t>
      </w:r>
      <w:r w:rsidRPr="00B526BF">
        <w:rPr>
          <w:rFonts w:ascii="Arial" w:hAnsi="Arial" w:cs="Arial"/>
          <w:bCs/>
          <w:spacing w:val="-3"/>
          <w:sz w:val="22"/>
          <w:szCs w:val="22"/>
        </w:rPr>
        <w:t xml:space="preserve">requiring the plaintiff to establish that the publication has caused or is likely to cause serious harm to their reputation and the abolition of the defence of triviality; </w:t>
      </w:r>
    </w:p>
    <w:p w14:paraId="51A6932E" w14:textId="77777777" w:rsidR="00B526BF" w:rsidRPr="00B526BF" w:rsidRDefault="00B526BF" w:rsidP="003D09AF">
      <w:pPr>
        <w:pStyle w:val="ListParagraph"/>
        <w:numPr>
          <w:ilvl w:val="0"/>
          <w:numId w:val="2"/>
        </w:numPr>
        <w:spacing w:before="120"/>
        <w:ind w:left="714" w:hanging="357"/>
        <w:contextualSpacing w:val="0"/>
        <w:jc w:val="both"/>
        <w:rPr>
          <w:rFonts w:ascii="Arial" w:hAnsi="Arial" w:cs="Arial"/>
          <w:bCs/>
          <w:spacing w:val="-3"/>
          <w:sz w:val="22"/>
          <w:szCs w:val="22"/>
        </w:rPr>
      </w:pPr>
      <w:r w:rsidRPr="00B526BF">
        <w:rPr>
          <w:rFonts w:ascii="Arial" w:hAnsi="Arial" w:cs="Arial"/>
          <w:bCs/>
          <w:spacing w:val="-3"/>
          <w:sz w:val="22"/>
          <w:szCs w:val="22"/>
        </w:rPr>
        <w:t>make it mandatory to issue a concerns notice prior to going to court; and clarify the offer to make amends process, including the required content and the timeframes;</w:t>
      </w:r>
    </w:p>
    <w:p w14:paraId="7E693BF3" w14:textId="7734A581" w:rsidR="00B526BF" w:rsidRPr="00B526BF" w:rsidRDefault="00B526BF" w:rsidP="003D09AF">
      <w:pPr>
        <w:pStyle w:val="ListParagraph"/>
        <w:numPr>
          <w:ilvl w:val="0"/>
          <w:numId w:val="2"/>
        </w:numPr>
        <w:spacing w:before="120"/>
        <w:ind w:left="714" w:hanging="357"/>
        <w:contextualSpacing w:val="0"/>
        <w:jc w:val="both"/>
        <w:rPr>
          <w:rFonts w:ascii="Arial" w:hAnsi="Arial" w:cs="Arial"/>
          <w:bCs/>
          <w:spacing w:val="-3"/>
          <w:sz w:val="22"/>
          <w:szCs w:val="22"/>
        </w:rPr>
      </w:pPr>
      <w:r w:rsidRPr="00B526BF">
        <w:rPr>
          <w:rFonts w:ascii="Arial" w:hAnsi="Arial" w:cs="Arial"/>
          <w:bCs/>
          <w:spacing w:val="-3"/>
          <w:sz w:val="22"/>
          <w:szCs w:val="22"/>
        </w:rPr>
        <w:t xml:space="preserve">introduce two new defences - a public interest defence based on the defence of "publication on matter of public interest" in section 4 of the UK Act and providing that </w:t>
      </w:r>
      <w:r w:rsidR="00393FC1">
        <w:rPr>
          <w:rFonts w:ascii="Arial" w:hAnsi="Arial" w:cs="Arial"/>
          <w:bCs/>
          <w:spacing w:val="-3"/>
          <w:sz w:val="22"/>
          <w:szCs w:val="22"/>
        </w:rPr>
        <w:br/>
      </w:r>
      <w:r w:rsidRPr="00B526BF">
        <w:rPr>
          <w:rFonts w:ascii="Arial" w:hAnsi="Arial" w:cs="Arial"/>
          <w:bCs/>
          <w:spacing w:val="-3"/>
          <w:sz w:val="22"/>
          <w:szCs w:val="22"/>
        </w:rPr>
        <w:t>peer-reviewed statements/assessments in a scientific or academic journal are privileged; and</w:t>
      </w:r>
    </w:p>
    <w:p w14:paraId="262DDD3A" w14:textId="77777777" w:rsidR="00B526BF" w:rsidRPr="00B526BF" w:rsidRDefault="00B526BF" w:rsidP="003D09AF">
      <w:pPr>
        <w:pStyle w:val="ListParagraph"/>
        <w:numPr>
          <w:ilvl w:val="0"/>
          <w:numId w:val="2"/>
        </w:numPr>
        <w:spacing w:before="120"/>
        <w:ind w:left="714" w:hanging="357"/>
        <w:contextualSpacing w:val="0"/>
        <w:jc w:val="both"/>
        <w:rPr>
          <w:rFonts w:ascii="Arial" w:hAnsi="Arial" w:cs="Arial"/>
          <w:bCs/>
          <w:spacing w:val="-3"/>
          <w:sz w:val="22"/>
          <w:szCs w:val="22"/>
        </w:rPr>
      </w:pPr>
      <w:r w:rsidRPr="00B526BF">
        <w:rPr>
          <w:rFonts w:ascii="Arial" w:hAnsi="Arial" w:cs="Arial"/>
          <w:bCs/>
          <w:spacing w:val="-3"/>
          <w:sz w:val="22"/>
          <w:szCs w:val="22"/>
        </w:rPr>
        <w:t>clarify that the cap on damages for non-economic loss sets the upper limit on a scale and applies regardless of whether aggravated damages apply.</w:t>
      </w:r>
    </w:p>
    <w:p w14:paraId="7A7CF4CC" w14:textId="34DD45FF" w:rsidR="00AB537C" w:rsidRPr="004F120F" w:rsidRDefault="00AB537C" w:rsidP="005D1472">
      <w:pPr>
        <w:numPr>
          <w:ilvl w:val="0"/>
          <w:numId w:val="1"/>
        </w:numPr>
        <w:spacing w:before="240"/>
        <w:ind w:left="357" w:hanging="357"/>
        <w:jc w:val="both"/>
        <w:rPr>
          <w:rFonts w:ascii="Arial" w:hAnsi="Arial" w:cs="Arial"/>
          <w:bCs/>
          <w:spacing w:val="-3"/>
          <w:sz w:val="22"/>
          <w:szCs w:val="22"/>
        </w:rPr>
      </w:pPr>
      <w:r>
        <w:rPr>
          <w:rFonts w:ascii="Arial" w:hAnsi="Arial" w:cs="Arial"/>
          <w:bCs/>
          <w:spacing w:val="-3"/>
          <w:sz w:val="22"/>
          <w:szCs w:val="22"/>
        </w:rPr>
        <w:t>The Bill also contain</w:t>
      </w:r>
      <w:r w:rsidR="00717BC3">
        <w:rPr>
          <w:rFonts w:ascii="Arial" w:hAnsi="Arial" w:cs="Arial"/>
          <w:bCs/>
          <w:spacing w:val="-3"/>
          <w:sz w:val="22"/>
          <w:szCs w:val="22"/>
        </w:rPr>
        <w:t>s</w:t>
      </w:r>
      <w:r>
        <w:rPr>
          <w:rFonts w:ascii="Arial" w:hAnsi="Arial" w:cs="Arial"/>
          <w:bCs/>
          <w:spacing w:val="-3"/>
          <w:sz w:val="22"/>
          <w:szCs w:val="22"/>
        </w:rPr>
        <w:t xml:space="preserve"> </w:t>
      </w:r>
      <w:r w:rsidRPr="00AB537C">
        <w:rPr>
          <w:rFonts w:ascii="Arial" w:hAnsi="Arial" w:cs="Arial"/>
          <w:bCs/>
          <w:spacing w:val="-3"/>
          <w:sz w:val="22"/>
          <w:szCs w:val="22"/>
        </w:rPr>
        <w:t xml:space="preserve">amendments to repeal </w:t>
      </w:r>
      <w:r>
        <w:rPr>
          <w:rFonts w:ascii="Arial" w:hAnsi="Arial" w:cs="Arial"/>
          <w:bCs/>
          <w:spacing w:val="-3"/>
          <w:sz w:val="22"/>
          <w:szCs w:val="22"/>
        </w:rPr>
        <w:t>sections</w:t>
      </w:r>
      <w:r w:rsidRPr="00AB537C">
        <w:rPr>
          <w:rFonts w:ascii="Arial" w:hAnsi="Arial" w:cs="Arial"/>
          <w:bCs/>
          <w:spacing w:val="-3"/>
          <w:sz w:val="22"/>
          <w:szCs w:val="22"/>
        </w:rPr>
        <w:t xml:space="preserve"> 10 and 11 from the </w:t>
      </w:r>
      <w:r w:rsidRPr="004F120F">
        <w:rPr>
          <w:rFonts w:ascii="Arial" w:hAnsi="Arial" w:cs="Arial"/>
          <w:bCs/>
          <w:i/>
          <w:iCs/>
          <w:spacing w:val="-3"/>
          <w:sz w:val="22"/>
          <w:szCs w:val="22"/>
        </w:rPr>
        <w:t>Heavy Vehicle National Law and Other Legislation Amendment Act 2019</w:t>
      </w:r>
      <w:r w:rsidRPr="00AB537C">
        <w:rPr>
          <w:rFonts w:ascii="Arial" w:hAnsi="Arial" w:cs="Arial"/>
          <w:bCs/>
          <w:spacing w:val="-3"/>
          <w:sz w:val="22"/>
          <w:szCs w:val="22"/>
        </w:rPr>
        <w:t xml:space="preserve"> to prevent unintended operational outcomes for industry that would result if </w:t>
      </w:r>
      <w:r w:rsidR="00717BC3">
        <w:rPr>
          <w:rFonts w:ascii="Arial" w:hAnsi="Arial" w:cs="Arial"/>
          <w:bCs/>
          <w:spacing w:val="-3"/>
          <w:sz w:val="22"/>
          <w:szCs w:val="22"/>
        </w:rPr>
        <w:t xml:space="preserve">the provisions were </w:t>
      </w:r>
      <w:r w:rsidRPr="00AB537C">
        <w:rPr>
          <w:rFonts w:ascii="Arial" w:hAnsi="Arial" w:cs="Arial"/>
          <w:bCs/>
          <w:spacing w:val="-3"/>
          <w:sz w:val="22"/>
          <w:szCs w:val="22"/>
        </w:rPr>
        <w:t>commenced.</w:t>
      </w:r>
    </w:p>
    <w:p w14:paraId="1B50B3A2" w14:textId="658B6633" w:rsidR="00B526BF" w:rsidRPr="00B526BF" w:rsidRDefault="00B526BF" w:rsidP="00BD4E90">
      <w:pPr>
        <w:numPr>
          <w:ilvl w:val="0"/>
          <w:numId w:val="1"/>
        </w:numPr>
        <w:spacing w:before="240"/>
        <w:ind w:left="357" w:hanging="357"/>
        <w:jc w:val="both"/>
        <w:rPr>
          <w:rFonts w:ascii="Arial" w:hAnsi="Arial" w:cs="Arial"/>
          <w:bCs/>
          <w:spacing w:val="-3"/>
          <w:sz w:val="22"/>
          <w:szCs w:val="22"/>
        </w:rPr>
      </w:pPr>
      <w:r w:rsidRPr="004C5D82">
        <w:rPr>
          <w:rFonts w:ascii="Arial" w:hAnsi="Arial" w:cs="Arial"/>
          <w:bCs/>
          <w:spacing w:val="-3"/>
          <w:sz w:val="22"/>
          <w:szCs w:val="22"/>
          <w:u w:val="single"/>
        </w:rPr>
        <w:t>Cabinet approved</w:t>
      </w:r>
      <w:r w:rsidRPr="004C5D82">
        <w:rPr>
          <w:rFonts w:ascii="Arial" w:hAnsi="Arial" w:cs="Arial"/>
          <w:bCs/>
          <w:spacing w:val="-3"/>
          <w:sz w:val="22"/>
          <w:szCs w:val="22"/>
        </w:rPr>
        <w:t xml:space="preserve"> the </w:t>
      </w:r>
      <w:r>
        <w:rPr>
          <w:rFonts w:ascii="Arial" w:hAnsi="Arial" w:cs="Arial"/>
          <w:bCs/>
          <w:spacing w:val="-3"/>
          <w:sz w:val="22"/>
          <w:szCs w:val="22"/>
        </w:rPr>
        <w:t xml:space="preserve">introduction of the Defamation </w:t>
      </w:r>
      <w:r w:rsidR="00512CF0">
        <w:rPr>
          <w:rFonts w:ascii="Arial" w:hAnsi="Arial" w:cs="Arial"/>
          <w:bCs/>
          <w:spacing w:val="-3"/>
          <w:sz w:val="22"/>
          <w:szCs w:val="22"/>
        </w:rPr>
        <w:t xml:space="preserve">(Model Provisions) </w:t>
      </w:r>
      <w:r>
        <w:rPr>
          <w:rFonts w:ascii="Arial" w:hAnsi="Arial" w:cs="Arial"/>
          <w:bCs/>
          <w:spacing w:val="-3"/>
          <w:sz w:val="22"/>
          <w:szCs w:val="22"/>
        </w:rPr>
        <w:t xml:space="preserve">and Other Legislation </w:t>
      </w:r>
      <w:r w:rsidR="00DD6834">
        <w:rPr>
          <w:rFonts w:ascii="Arial" w:hAnsi="Arial" w:cs="Arial"/>
          <w:bCs/>
          <w:spacing w:val="-3"/>
          <w:sz w:val="22"/>
          <w:szCs w:val="22"/>
        </w:rPr>
        <w:t xml:space="preserve">Amendment </w:t>
      </w:r>
      <w:r>
        <w:rPr>
          <w:rFonts w:ascii="Arial" w:hAnsi="Arial" w:cs="Arial"/>
          <w:bCs/>
          <w:spacing w:val="-3"/>
          <w:sz w:val="22"/>
          <w:szCs w:val="22"/>
        </w:rPr>
        <w:t>Bill 202</w:t>
      </w:r>
      <w:r w:rsidR="00DD6834">
        <w:rPr>
          <w:rFonts w:ascii="Arial" w:hAnsi="Arial" w:cs="Arial"/>
          <w:bCs/>
          <w:spacing w:val="-3"/>
          <w:sz w:val="22"/>
          <w:szCs w:val="22"/>
        </w:rPr>
        <w:t>1</w:t>
      </w:r>
      <w:r w:rsidR="00427C86">
        <w:rPr>
          <w:rFonts w:ascii="Arial" w:hAnsi="Arial" w:cs="Arial"/>
          <w:bCs/>
          <w:spacing w:val="-3"/>
          <w:sz w:val="22"/>
          <w:szCs w:val="22"/>
        </w:rPr>
        <w:t xml:space="preserve"> in</w:t>
      </w:r>
      <w:r w:rsidR="004C498E">
        <w:rPr>
          <w:rFonts w:ascii="Arial" w:hAnsi="Arial" w:cs="Arial"/>
          <w:bCs/>
          <w:spacing w:val="-3"/>
          <w:sz w:val="22"/>
          <w:szCs w:val="22"/>
        </w:rPr>
        <w:t>to</w:t>
      </w:r>
      <w:r w:rsidR="00427C86">
        <w:rPr>
          <w:rFonts w:ascii="Arial" w:hAnsi="Arial" w:cs="Arial"/>
          <w:bCs/>
          <w:spacing w:val="-3"/>
          <w:sz w:val="22"/>
          <w:szCs w:val="22"/>
        </w:rPr>
        <w:t xml:space="preserve"> the Legislative Assembly</w:t>
      </w:r>
      <w:r>
        <w:rPr>
          <w:rFonts w:ascii="Arial" w:hAnsi="Arial" w:cs="Arial"/>
          <w:bCs/>
          <w:spacing w:val="-3"/>
          <w:sz w:val="22"/>
          <w:szCs w:val="22"/>
        </w:rPr>
        <w:t>.</w:t>
      </w:r>
    </w:p>
    <w:p w14:paraId="020807A0" w14:textId="77777777" w:rsidR="00B526BF" w:rsidRPr="004F3B02" w:rsidRDefault="00B526BF" w:rsidP="00BD4E90">
      <w:pPr>
        <w:numPr>
          <w:ilvl w:val="0"/>
          <w:numId w:val="1"/>
        </w:numPr>
        <w:spacing w:before="320"/>
        <w:ind w:left="357" w:hanging="357"/>
        <w:jc w:val="both"/>
        <w:rPr>
          <w:rFonts w:ascii="Arial" w:hAnsi="Arial" w:cs="Arial"/>
          <w:bCs/>
          <w:i/>
          <w:iCs/>
          <w:spacing w:val="-3"/>
          <w:sz w:val="22"/>
          <w:szCs w:val="22"/>
        </w:rPr>
      </w:pPr>
      <w:r w:rsidRPr="004F3B02">
        <w:rPr>
          <w:rFonts w:ascii="Arial" w:hAnsi="Arial" w:cs="Arial"/>
          <w:bCs/>
          <w:i/>
          <w:iCs/>
          <w:spacing w:val="-3"/>
          <w:sz w:val="22"/>
          <w:szCs w:val="22"/>
          <w:u w:val="single"/>
        </w:rPr>
        <w:t>Attachments</w:t>
      </w:r>
    </w:p>
    <w:p w14:paraId="09193A54" w14:textId="105EAA5F" w:rsidR="00B526BF" w:rsidRPr="004C5D82" w:rsidRDefault="001C54F2" w:rsidP="00EC7649">
      <w:pPr>
        <w:pStyle w:val="ListParagraph"/>
        <w:numPr>
          <w:ilvl w:val="0"/>
          <w:numId w:val="2"/>
        </w:numPr>
        <w:spacing w:before="120"/>
        <w:ind w:left="714" w:hanging="357"/>
        <w:contextualSpacing w:val="0"/>
        <w:jc w:val="both"/>
        <w:rPr>
          <w:rFonts w:ascii="Arial" w:hAnsi="Arial" w:cs="Arial"/>
          <w:bCs/>
          <w:spacing w:val="-3"/>
          <w:sz w:val="22"/>
          <w:szCs w:val="22"/>
        </w:rPr>
      </w:pPr>
      <w:hyperlink r:id="rId10" w:history="1">
        <w:r w:rsidR="00DD6834" w:rsidRPr="00B837E2">
          <w:rPr>
            <w:rStyle w:val="Hyperlink"/>
            <w:rFonts w:ascii="Arial" w:hAnsi="Arial" w:cs="Arial"/>
            <w:bCs/>
            <w:spacing w:val="-3"/>
            <w:sz w:val="22"/>
            <w:szCs w:val="22"/>
          </w:rPr>
          <w:t xml:space="preserve">Defamation </w:t>
        </w:r>
        <w:r w:rsidR="00512CF0" w:rsidRPr="00B837E2">
          <w:rPr>
            <w:rStyle w:val="Hyperlink"/>
            <w:rFonts w:ascii="Arial" w:hAnsi="Arial" w:cs="Arial"/>
            <w:bCs/>
            <w:spacing w:val="-3"/>
            <w:sz w:val="22"/>
            <w:szCs w:val="22"/>
          </w:rPr>
          <w:t xml:space="preserve">(Model Provisions) </w:t>
        </w:r>
        <w:r w:rsidR="00DD6834" w:rsidRPr="00B837E2">
          <w:rPr>
            <w:rStyle w:val="Hyperlink"/>
            <w:rFonts w:ascii="Arial" w:hAnsi="Arial" w:cs="Arial"/>
            <w:bCs/>
            <w:spacing w:val="-3"/>
            <w:sz w:val="22"/>
            <w:szCs w:val="22"/>
          </w:rPr>
          <w:t>and Other Legislation Amendment Bill 2021</w:t>
        </w:r>
      </w:hyperlink>
      <w:r w:rsidR="00B526BF">
        <w:rPr>
          <w:rFonts w:ascii="Arial" w:hAnsi="Arial" w:cs="Arial"/>
          <w:bCs/>
          <w:spacing w:val="-3"/>
          <w:sz w:val="22"/>
          <w:szCs w:val="22"/>
        </w:rPr>
        <w:t xml:space="preserve"> </w:t>
      </w:r>
    </w:p>
    <w:p w14:paraId="109C11A8" w14:textId="2EB3A2C9" w:rsidR="00F0269C" w:rsidRDefault="001C54F2" w:rsidP="00EC7649">
      <w:pPr>
        <w:pStyle w:val="ListParagraph"/>
        <w:numPr>
          <w:ilvl w:val="0"/>
          <w:numId w:val="2"/>
        </w:numPr>
        <w:spacing w:before="120"/>
        <w:ind w:left="714" w:hanging="357"/>
        <w:contextualSpacing w:val="0"/>
        <w:jc w:val="both"/>
        <w:rPr>
          <w:rFonts w:ascii="Arial" w:hAnsi="Arial" w:cs="Arial"/>
          <w:bCs/>
          <w:spacing w:val="-3"/>
          <w:sz w:val="22"/>
          <w:szCs w:val="22"/>
        </w:rPr>
      </w:pPr>
      <w:hyperlink r:id="rId11" w:history="1">
        <w:r w:rsidR="00B526BF" w:rsidRPr="00B837E2">
          <w:rPr>
            <w:rStyle w:val="Hyperlink"/>
            <w:rFonts w:ascii="Arial" w:hAnsi="Arial" w:cs="Arial"/>
            <w:bCs/>
            <w:spacing w:val="-3"/>
            <w:sz w:val="22"/>
            <w:szCs w:val="22"/>
          </w:rPr>
          <w:t>Explanatory Notes for the Bill</w:t>
        </w:r>
      </w:hyperlink>
      <w:r w:rsidR="00B526BF" w:rsidRPr="00763DBC">
        <w:rPr>
          <w:rFonts w:ascii="Arial" w:hAnsi="Arial" w:cs="Arial"/>
          <w:bCs/>
          <w:spacing w:val="-3"/>
          <w:sz w:val="22"/>
          <w:szCs w:val="22"/>
        </w:rPr>
        <w:t xml:space="preserve"> </w:t>
      </w:r>
    </w:p>
    <w:p w14:paraId="1EC528B5" w14:textId="5A6BE9D3" w:rsidR="003D09AF" w:rsidRPr="003D09AF" w:rsidRDefault="001C54F2" w:rsidP="00EC7649">
      <w:pPr>
        <w:pStyle w:val="ListParagraph"/>
        <w:numPr>
          <w:ilvl w:val="0"/>
          <w:numId w:val="2"/>
        </w:numPr>
        <w:spacing w:before="120"/>
        <w:ind w:left="714" w:hanging="357"/>
        <w:contextualSpacing w:val="0"/>
        <w:jc w:val="both"/>
        <w:rPr>
          <w:rFonts w:ascii="Arial" w:hAnsi="Arial" w:cs="Arial"/>
          <w:bCs/>
          <w:spacing w:val="-3"/>
          <w:sz w:val="22"/>
          <w:szCs w:val="22"/>
        </w:rPr>
      </w:pPr>
      <w:hyperlink r:id="rId12" w:history="1">
        <w:r w:rsidR="00FF48E7" w:rsidRPr="00B837E2">
          <w:rPr>
            <w:rStyle w:val="Hyperlink"/>
            <w:rFonts w:ascii="Arial" w:hAnsi="Arial" w:cs="Arial"/>
            <w:bCs/>
            <w:spacing w:val="-3"/>
            <w:sz w:val="22"/>
            <w:szCs w:val="22"/>
          </w:rPr>
          <w:t>Statement of Compatibility for the Bill</w:t>
        </w:r>
      </w:hyperlink>
    </w:p>
    <w:sectPr w:rsidR="003D09AF" w:rsidRPr="003D09AF" w:rsidSect="00BD4E90">
      <w:headerReference w:type="default" r:id="rId13"/>
      <w:pgSz w:w="11906" w:h="16838" w:code="9"/>
      <w:pgMar w:top="113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CED" w14:textId="77777777" w:rsidR="00015CFF" w:rsidRDefault="00015CFF" w:rsidP="00B526BF">
      <w:r>
        <w:separator/>
      </w:r>
    </w:p>
  </w:endnote>
  <w:endnote w:type="continuationSeparator" w:id="0">
    <w:p w14:paraId="552A7DE5" w14:textId="77777777" w:rsidR="00015CFF" w:rsidRDefault="00015CFF" w:rsidP="00B5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A5AE" w14:textId="77777777" w:rsidR="00015CFF" w:rsidRDefault="00015CFF" w:rsidP="00B526BF">
      <w:r>
        <w:separator/>
      </w:r>
    </w:p>
  </w:footnote>
  <w:footnote w:type="continuationSeparator" w:id="0">
    <w:p w14:paraId="694E05FF" w14:textId="77777777" w:rsidR="00015CFF" w:rsidRDefault="00015CFF" w:rsidP="00B5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F370" w14:textId="77777777" w:rsidR="00B526BF" w:rsidRPr="00D75134" w:rsidRDefault="00B526BF" w:rsidP="00B526BF">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6FEA0A7E" w14:textId="77777777" w:rsidR="00B526BF" w:rsidRPr="00D75134" w:rsidRDefault="00B526BF" w:rsidP="00B526BF">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00A178D1" w14:textId="52801D69" w:rsidR="00B526BF" w:rsidRPr="001E209B" w:rsidRDefault="00B526BF" w:rsidP="00B526BF">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9A67FC">
      <w:rPr>
        <w:rFonts w:ascii="Arial" w:hAnsi="Arial" w:cs="Arial"/>
        <w:b/>
        <w:sz w:val="22"/>
        <w:szCs w:val="22"/>
      </w:rPr>
      <w:t xml:space="preserve">Cabinet – </w:t>
    </w:r>
    <w:r w:rsidR="007C4095" w:rsidRPr="009A67FC">
      <w:rPr>
        <w:rFonts w:ascii="Arial" w:hAnsi="Arial" w:cs="Arial"/>
        <w:b/>
        <w:sz w:val="22"/>
        <w:szCs w:val="22"/>
      </w:rPr>
      <w:t xml:space="preserve">April </w:t>
    </w:r>
    <w:r w:rsidRPr="009A67FC">
      <w:rPr>
        <w:rFonts w:ascii="Arial" w:hAnsi="Arial" w:cs="Arial"/>
        <w:b/>
        <w:sz w:val="22"/>
        <w:szCs w:val="22"/>
      </w:rPr>
      <w:t>202</w:t>
    </w:r>
    <w:r w:rsidR="007C4095" w:rsidRPr="009A67FC">
      <w:rPr>
        <w:rFonts w:ascii="Arial" w:hAnsi="Arial" w:cs="Arial"/>
        <w:b/>
        <w:sz w:val="22"/>
        <w:szCs w:val="22"/>
      </w:rPr>
      <w:t>1</w:t>
    </w:r>
  </w:p>
  <w:p w14:paraId="46589299" w14:textId="16E17EBF" w:rsidR="00DD6834" w:rsidRPr="00866A62" w:rsidRDefault="00DD6834" w:rsidP="00B526BF">
    <w:pPr>
      <w:pStyle w:val="Header"/>
      <w:spacing w:before="120"/>
      <w:rPr>
        <w:rFonts w:ascii="Arial" w:hAnsi="Arial" w:cs="Arial"/>
        <w:b/>
        <w:sz w:val="22"/>
        <w:szCs w:val="22"/>
        <w:u w:val="single"/>
      </w:rPr>
    </w:pPr>
    <w:r w:rsidRPr="00866A62">
      <w:rPr>
        <w:rFonts w:ascii="Arial" w:hAnsi="Arial" w:cs="Arial"/>
        <w:b/>
        <w:sz w:val="22"/>
        <w:szCs w:val="22"/>
        <w:u w:val="single"/>
      </w:rPr>
      <w:t xml:space="preserve">Defamation </w:t>
    </w:r>
    <w:r w:rsidR="00512CF0" w:rsidRPr="00866A62">
      <w:rPr>
        <w:rFonts w:ascii="Arial" w:hAnsi="Arial" w:cs="Arial"/>
        <w:b/>
        <w:sz w:val="22"/>
        <w:szCs w:val="22"/>
        <w:u w:val="single"/>
      </w:rPr>
      <w:t xml:space="preserve">(Model Provisions) </w:t>
    </w:r>
    <w:r w:rsidRPr="00866A62">
      <w:rPr>
        <w:rFonts w:ascii="Arial" w:hAnsi="Arial" w:cs="Arial"/>
        <w:b/>
        <w:sz w:val="22"/>
        <w:szCs w:val="22"/>
        <w:u w:val="single"/>
      </w:rPr>
      <w:t>and Other Legislation Amendment Bill 2021</w:t>
    </w:r>
  </w:p>
  <w:p w14:paraId="30E8A897" w14:textId="77777777" w:rsidR="007C4095" w:rsidRPr="007C4095" w:rsidRDefault="007C4095" w:rsidP="007C4095">
    <w:pPr>
      <w:pStyle w:val="Header"/>
      <w:spacing w:before="120"/>
      <w:rPr>
        <w:rFonts w:ascii="Arial" w:hAnsi="Arial" w:cs="Arial"/>
        <w:b/>
        <w:sz w:val="22"/>
        <w:szCs w:val="22"/>
        <w:u w:val="single"/>
      </w:rPr>
    </w:pPr>
    <w:r w:rsidRPr="007C4095">
      <w:rPr>
        <w:rFonts w:ascii="Arial" w:hAnsi="Arial" w:cs="Arial"/>
        <w:b/>
        <w:sz w:val="22"/>
        <w:szCs w:val="22"/>
        <w:u w:val="single"/>
      </w:rPr>
      <w:t>Attorney-General and Minister for Justice, Minister for Women and Minister for the Prevention of Domestic Violence</w:t>
    </w:r>
  </w:p>
  <w:p w14:paraId="72458253" w14:textId="5B2CDBBA" w:rsidR="007C4095" w:rsidRDefault="007C4095" w:rsidP="005D1472">
    <w:pPr>
      <w:pStyle w:val="Header"/>
      <w:rPr>
        <w:rFonts w:ascii="Arial" w:hAnsi="Arial" w:cs="Arial"/>
        <w:b/>
        <w:sz w:val="22"/>
        <w:szCs w:val="22"/>
        <w:u w:val="single"/>
      </w:rPr>
    </w:pPr>
    <w:r w:rsidRPr="000A137F">
      <w:rPr>
        <w:rFonts w:ascii="Arial" w:hAnsi="Arial" w:cs="Arial"/>
        <w:b/>
        <w:sz w:val="22"/>
        <w:szCs w:val="22"/>
        <w:u w:val="single"/>
      </w:rPr>
      <w:t>Minister for Transport and Main Roads</w:t>
    </w:r>
  </w:p>
  <w:p w14:paraId="78A05083" w14:textId="48FE7A0D" w:rsidR="00B526BF" w:rsidRPr="005D1472" w:rsidRDefault="00B526BF" w:rsidP="00B526BF">
    <w:pPr>
      <w:pStyle w:val="Heade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12AAD"/>
    <w:multiLevelType w:val="hybridMultilevel"/>
    <w:tmpl w:val="3C2E0DAE"/>
    <w:lvl w:ilvl="0" w:tplc="7B60A54E">
      <w:start w:val="1"/>
      <w:numFmt w:val="decimal"/>
      <w:lvlText w:val="%1."/>
      <w:lvlJc w:val="left"/>
      <w:pPr>
        <w:tabs>
          <w:tab w:val="num" w:pos="360"/>
        </w:tabs>
        <w:ind w:left="360" w:hanging="360"/>
      </w:pPr>
      <w:rPr>
        <w:rFonts w:cs="Times New Roman"/>
        <w:i w:val="0"/>
      </w:rPr>
    </w:lvl>
    <w:lvl w:ilvl="1" w:tplc="0C090001">
      <w:start w:val="1"/>
      <w:numFmt w:val="bullet"/>
      <w:lvlText w:val=""/>
      <w:lvlJc w:val="left"/>
      <w:pPr>
        <w:tabs>
          <w:tab w:val="num" w:pos="1083"/>
        </w:tabs>
        <w:ind w:left="1083" w:hanging="363"/>
      </w:pPr>
      <w:rPr>
        <w:rFonts w:ascii="Symbol" w:hAnsi="Symbol" w:hint="default"/>
      </w:rPr>
    </w:lvl>
    <w:lvl w:ilvl="2" w:tplc="D6180014" w:tentative="1">
      <w:start w:val="1"/>
      <w:numFmt w:val="lowerRoman"/>
      <w:lvlText w:val="%3."/>
      <w:lvlJc w:val="right"/>
      <w:pPr>
        <w:tabs>
          <w:tab w:val="num" w:pos="1800"/>
        </w:tabs>
        <w:ind w:left="1800" w:hanging="180"/>
      </w:pPr>
      <w:rPr>
        <w:rFonts w:cs="Times New Roman"/>
      </w:rPr>
    </w:lvl>
    <w:lvl w:ilvl="3" w:tplc="66F66F3E" w:tentative="1">
      <w:start w:val="1"/>
      <w:numFmt w:val="decimal"/>
      <w:lvlText w:val="%4."/>
      <w:lvlJc w:val="left"/>
      <w:pPr>
        <w:tabs>
          <w:tab w:val="num" w:pos="2520"/>
        </w:tabs>
        <w:ind w:left="2520" w:hanging="360"/>
      </w:pPr>
      <w:rPr>
        <w:rFonts w:cs="Times New Roman"/>
      </w:rPr>
    </w:lvl>
    <w:lvl w:ilvl="4" w:tplc="3322175E" w:tentative="1">
      <w:start w:val="1"/>
      <w:numFmt w:val="lowerLetter"/>
      <w:lvlText w:val="%5."/>
      <w:lvlJc w:val="left"/>
      <w:pPr>
        <w:tabs>
          <w:tab w:val="num" w:pos="3240"/>
        </w:tabs>
        <w:ind w:left="3240" w:hanging="360"/>
      </w:pPr>
      <w:rPr>
        <w:rFonts w:cs="Times New Roman"/>
      </w:rPr>
    </w:lvl>
    <w:lvl w:ilvl="5" w:tplc="E77AE1E6" w:tentative="1">
      <w:start w:val="1"/>
      <w:numFmt w:val="lowerRoman"/>
      <w:lvlText w:val="%6."/>
      <w:lvlJc w:val="right"/>
      <w:pPr>
        <w:tabs>
          <w:tab w:val="num" w:pos="3960"/>
        </w:tabs>
        <w:ind w:left="3960" w:hanging="180"/>
      </w:pPr>
      <w:rPr>
        <w:rFonts w:cs="Times New Roman"/>
      </w:rPr>
    </w:lvl>
    <w:lvl w:ilvl="6" w:tplc="CA2C9128" w:tentative="1">
      <w:start w:val="1"/>
      <w:numFmt w:val="decimal"/>
      <w:lvlText w:val="%7."/>
      <w:lvlJc w:val="left"/>
      <w:pPr>
        <w:tabs>
          <w:tab w:val="num" w:pos="4680"/>
        </w:tabs>
        <w:ind w:left="4680" w:hanging="360"/>
      </w:pPr>
      <w:rPr>
        <w:rFonts w:cs="Times New Roman"/>
      </w:rPr>
    </w:lvl>
    <w:lvl w:ilvl="7" w:tplc="2780B9BC" w:tentative="1">
      <w:start w:val="1"/>
      <w:numFmt w:val="lowerLetter"/>
      <w:lvlText w:val="%8."/>
      <w:lvlJc w:val="left"/>
      <w:pPr>
        <w:tabs>
          <w:tab w:val="num" w:pos="5400"/>
        </w:tabs>
        <w:ind w:left="5400" w:hanging="360"/>
      </w:pPr>
      <w:rPr>
        <w:rFonts w:cs="Times New Roman"/>
      </w:rPr>
    </w:lvl>
    <w:lvl w:ilvl="8" w:tplc="1AE28ED0" w:tentative="1">
      <w:start w:val="1"/>
      <w:numFmt w:val="lowerRoman"/>
      <w:lvlText w:val="%9."/>
      <w:lvlJc w:val="right"/>
      <w:pPr>
        <w:tabs>
          <w:tab w:val="num" w:pos="6120"/>
        </w:tabs>
        <w:ind w:left="6120" w:hanging="180"/>
      </w:pPr>
      <w:rPr>
        <w:rFonts w:cs="Times New Roman"/>
      </w:rPr>
    </w:lvl>
  </w:abstractNum>
  <w:abstractNum w:abstractNumId="1" w15:restartNumberingAfterBreak="0">
    <w:nsid w:val="488C5CEB"/>
    <w:multiLevelType w:val="hybridMultilevel"/>
    <w:tmpl w:val="FD100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BF"/>
    <w:rsid w:val="00015CFF"/>
    <w:rsid w:val="00073D2A"/>
    <w:rsid w:val="000A137F"/>
    <w:rsid w:val="001C54F2"/>
    <w:rsid w:val="002526C4"/>
    <w:rsid w:val="002A5EDF"/>
    <w:rsid w:val="002C37E6"/>
    <w:rsid w:val="00393FC1"/>
    <w:rsid w:val="003D09AF"/>
    <w:rsid w:val="00427C86"/>
    <w:rsid w:val="004346C8"/>
    <w:rsid w:val="004C498E"/>
    <w:rsid w:val="004F120F"/>
    <w:rsid w:val="00512CF0"/>
    <w:rsid w:val="00525653"/>
    <w:rsid w:val="005B009C"/>
    <w:rsid w:val="005B62C9"/>
    <w:rsid w:val="005D1472"/>
    <w:rsid w:val="00666BD6"/>
    <w:rsid w:val="0069692B"/>
    <w:rsid w:val="006D2F31"/>
    <w:rsid w:val="00706704"/>
    <w:rsid w:val="007072CB"/>
    <w:rsid w:val="00717BC3"/>
    <w:rsid w:val="00763DBC"/>
    <w:rsid w:val="007C4095"/>
    <w:rsid w:val="00866A62"/>
    <w:rsid w:val="00902252"/>
    <w:rsid w:val="00953F75"/>
    <w:rsid w:val="009A67FC"/>
    <w:rsid w:val="00A2798E"/>
    <w:rsid w:val="00AA5F52"/>
    <w:rsid w:val="00AB537C"/>
    <w:rsid w:val="00B33A81"/>
    <w:rsid w:val="00B526BF"/>
    <w:rsid w:val="00B750C2"/>
    <w:rsid w:val="00B837E2"/>
    <w:rsid w:val="00BD4E90"/>
    <w:rsid w:val="00D02756"/>
    <w:rsid w:val="00D625A1"/>
    <w:rsid w:val="00DB7045"/>
    <w:rsid w:val="00DD6834"/>
    <w:rsid w:val="00EC7649"/>
    <w:rsid w:val="00ED0904"/>
    <w:rsid w:val="00F0269C"/>
    <w:rsid w:val="00F61843"/>
    <w:rsid w:val="00F91D6C"/>
    <w:rsid w:val="00FF48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BE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BF"/>
    <w:pPr>
      <w:spacing w:after="0" w:line="240" w:lineRule="auto"/>
    </w:pPr>
    <w:rPr>
      <w:rFonts w:ascii="Times New Roman" w:eastAsia="Calibri"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6BF"/>
    <w:pPr>
      <w:tabs>
        <w:tab w:val="center" w:pos="4513"/>
        <w:tab w:val="right" w:pos="9026"/>
      </w:tabs>
    </w:pPr>
  </w:style>
  <w:style w:type="character" w:customStyle="1" w:styleId="HeaderChar">
    <w:name w:val="Header Char"/>
    <w:basedOn w:val="DefaultParagraphFont"/>
    <w:link w:val="Header"/>
    <w:uiPriority w:val="99"/>
    <w:rsid w:val="00B526BF"/>
    <w:rPr>
      <w:rFonts w:ascii="Times New Roman" w:eastAsia="Calibri" w:hAnsi="Times New Roman" w:cs="Times New Roman"/>
      <w:color w:val="000000"/>
      <w:sz w:val="24"/>
      <w:szCs w:val="20"/>
      <w:lang w:eastAsia="en-AU"/>
    </w:rPr>
  </w:style>
  <w:style w:type="paragraph" w:styleId="Footer">
    <w:name w:val="footer"/>
    <w:basedOn w:val="Normal"/>
    <w:link w:val="FooterChar"/>
    <w:uiPriority w:val="99"/>
    <w:unhideWhenUsed/>
    <w:rsid w:val="00B526BF"/>
    <w:pPr>
      <w:tabs>
        <w:tab w:val="center" w:pos="4513"/>
        <w:tab w:val="right" w:pos="9026"/>
      </w:tabs>
    </w:pPr>
  </w:style>
  <w:style w:type="character" w:customStyle="1" w:styleId="FooterChar">
    <w:name w:val="Footer Char"/>
    <w:basedOn w:val="DefaultParagraphFont"/>
    <w:link w:val="Footer"/>
    <w:uiPriority w:val="99"/>
    <w:rsid w:val="00B526BF"/>
    <w:rPr>
      <w:rFonts w:ascii="Times New Roman" w:eastAsia="Calibri" w:hAnsi="Times New Roman" w:cs="Times New Roman"/>
      <w:color w:val="000000"/>
      <w:sz w:val="24"/>
      <w:szCs w:val="20"/>
      <w:lang w:eastAsia="en-AU"/>
    </w:rPr>
  </w:style>
  <w:style w:type="paragraph" w:styleId="ListParagraph">
    <w:name w:val="List Paragraph"/>
    <w:basedOn w:val="Normal"/>
    <w:uiPriority w:val="34"/>
    <w:qFormat/>
    <w:rsid w:val="00B526BF"/>
    <w:pPr>
      <w:ind w:left="720"/>
      <w:contextualSpacing/>
    </w:pPr>
  </w:style>
  <w:style w:type="paragraph" w:styleId="BalloonText">
    <w:name w:val="Balloon Text"/>
    <w:basedOn w:val="Normal"/>
    <w:link w:val="BalloonTextChar"/>
    <w:uiPriority w:val="99"/>
    <w:semiHidden/>
    <w:unhideWhenUsed/>
    <w:rsid w:val="00B52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BF"/>
    <w:rPr>
      <w:rFonts w:ascii="Segoe UI" w:eastAsia="Calibri" w:hAnsi="Segoe UI" w:cs="Segoe UI"/>
      <w:color w:val="000000"/>
      <w:sz w:val="18"/>
      <w:szCs w:val="18"/>
      <w:lang w:eastAsia="en-AU"/>
    </w:rPr>
  </w:style>
  <w:style w:type="character" w:styleId="CommentReference">
    <w:name w:val="annotation reference"/>
    <w:basedOn w:val="DefaultParagraphFont"/>
    <w:uiPriority w:val="99"/>
    <w:semiHidden/>
    <w:unhideWhenUsed/>
    <w:rsid w:val="00ED0904"/>
    <w:rPr>
      <w:sz w:val="16"/>
      <w:szCs w:val="16"/>
    </w:rPr>
  </w:style>
  <w:style w:type="paragraph" w:styleId="CommentText">
    <w:name w:val="annotation text"/>
    <w:basedOn w:val="Normal"/>
    <w:link w:val="CommentTextChar"/>
    <w:uiPriority w:val="99"/>
    <w:semiHidden/>
    <w:unhideWhenUsed/>
    <w:rsid w:val="00ED0904"/>
    <w:rPr>
      <w:sz w:val="20"/>
    </w:rPr>
  </w:style>
  <w:style w:type="character" w:customStyle="1" w:styleId="CommentTextChar">
    <w:name w:val="Comment Text Char"/>
    <w:basedOn w:val="DefaultParagraphFont"/>
    <w:link w:val="CommentText"/>
    <w:uiPriority w:val="99"/>
    <w:semiHidden/>
    <w:rsid w:val="00ED0904"/>
    <w:rPr>
      <w:rFonts w:ascii="Times New Roman" w:eastAsia="Calibri"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ED0904"/>
    <w:rPr>
      <w:b/>
      <w:bCs/>
    </w:rPr>
  </w:style>
  <w:style w:type="character" w:customStyle="1" w:styleId="CommentSubjectChar">
    <w:name w:val="Comment Subject Char"/>
    <w:basedOn w:val="CommentTextChar"/>
    <w:link w:val="CommentSubject"/>
    <w:uiPriority w:val="99"/>
    <w:semiHidden/>
    <w:rsid w:val="00ED0904"/>
    <w:rPr>
      <w:rFonts w:ascii="Times New Roman" w:eastAsia="Calibri" w:hAnsi="Times New Roman" w:cs="Times New Roman"/>
      <w:b/>
      <w:bCs/>
      <w:color w:val="000000"/>
      <w:sz w:val="20"/>
      <w:szCs w:val="20"/>
      <w:lang w:eastAsia="en-AU"/>
    </w:rPr>
  </w:style>
  <w:style w:type="character" w:styleId="Hyperlink">
    <w:name w:val="Hyperlink"/>
    <w:basedOn w:val="DefaultParagraphFont"/>
    <w:uiPriority w:val="99"/>
    <w:unhideWhenUsed/>
    <w:rsid w:val="00B837E2"/>
    <w:rPr>
      <w:color w:val="0563C1" w:themeColor="hyperlink"/>
      <w:u w:val="single"/>
    </w:rPr>
  </w:style>
  <w:style w:type="character" w:styleId="UnresolvedMention">
    <w:name w:val="Unresolved Mention"/>
    <w:basedOn w:val="DefaultParagraphFont"/>
    <w:uiPriority w:val="99"/>
    <w:semiHidden/>
    <w:unhideWhenUsed/>
    <w:rsid w:val="00B837E2"/>
    <w:rPr>
      <w:color w:val="605E5C"/>
      <w:shd w:val="clear" w:color="auto" w:fill="E1DFDD"/>
    </w:rPr>
  </w:style>
  <w:style w:type="character" w:styleId="FollowedHyperlink">
    <w:name w:val="FollowedHyperlink"/>
    <w:basedOn w:val="DefaultParagraphFont"/>
    <w:uiPriority w:val="99"/>
    <w:semiHidden/>
    <w:unhideWhenUsed/>
    <w:rsid w:val="002A5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4D2F3-E05B-402F-BDEA-3D76F3A152CF}">
  <ds:schemaRefs>
    <ds:schemaRef ds:uri="http://schemas.microsoft.com/sharepoint/v3/contenttype/forms"/>
  </ds:schemaRefs>
</ds:datastoreItem>
</file>

<file path=customXml/itemProps2.xml><?xml version="1.0" encoding="utf-8"?>
<ds:datastoreItem xmlns:ds="http://schemas.openxmlformats.org/officeDocument/2006/customXml" ds:itemID="{DCA18AB3-F633-4C8B-A673-41AA120B3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1F7E-CFC9-4C09-9940-83DCA6445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453</Words>
  <Characters>2475</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2925</CharactersWithSpaces>
  <SharedDoc>false</SharedDoc>
  <HyperlinkBase>https://www.cabinet.qld.gov.au/documents/2021/Apr/Defamation OLAB 2021/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17</cp:revision>
  <cp:lastPrinted>2021-09-23T05:46:00Z</cp:lastPrinted>
  <dcterms:created xsi:type="dcterms:W3CDTF">2021-09-16T07:46:00Z</dcterms:created>
  <dcterms:modified xsi:type="dcterms:W3CDTF">2021-11-26T04:46:00Z</dcterms:modified>
  <cp:category>Justice,Legislation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